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35" w:rsidRDefault="00F676DA" w:rsidP="00F676DA">
      <w:pPr>
        <w:jc w:val="center"/>
        <w:rPr>
          <w:b/>
        </w:rPr>
      </w:pPr>
      <w:r w:rsidRPr="00F676DA">
        <w:rPr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676DA" w:rsidRDefault="00F676DA" w:rsidP="00F676DA">
      <w:pPr>
        <w:jc w:val="center"/>
        <w:rPr>
          <w:sz w:val="22"/>
        </w:rPr>
      </w:pPr>
      <w:r w:rsidRPr="00F676DA">
        <w:rPr>
          <w:sz w:val="22"/>
        </w:rPr>
        <w:t>(відповідно до пункту 41 постанови КМУ від 11.10.2016 № 710 «Про ефективне використання державних коштів» (зі змінами))</w:t>
      </w:r>
    </w:p>
    <w:p w:rsidR="00F676DA" w:rsidRDefault="00F676DA" w:rsidP="00F676DA">
      <w:pPr>
        <w:rPr>
          <w:sz w:val="22"/>
        </w:rPr>
      </w:pPr>
    </w:p>
    <w:p w:rsidR="00F676DA" w:rsidRDefault="00683F7A" w:rsidP="00676F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6F09">
        <w:rPr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76F09">
        <w:rPr>
          <w:sz w:val="24"/>
          <w:szCs w:val="24"/>
        </w:rPr>
        <w:t xml:space="preserve">Державний університет телекомунікацій; вул. Солом’янська, 7, м. Київ, 03110; код за ЄДРПОУ – 38855349; категорія замовника – </w:t>
      </w:r>
      <w:r w:rsidR="00676F09" w:rsidRPr="00676F09">
        <w:rPr>
          <w:rFonts w:eastAsia="Times New Roman" w:cs="Times New Roman"/>
          <w:sz w:val="24"/>
          <w:szCs w:val="24"/>
          <w:lang w:eastAsia="uk-UA" w:bidi="uk-UA"/>
        </w:rPr>
        <w:t>відповідно п.3, ч.1,  ст. 2 Закону “Про публічні закупівлі“</w:t>
      </w:r>
      <w:r w:rsidRPr="00676F09">
        <w:rPr>
          <w:sz w:val="24"/>
          <w:szCs w:val="24"/>
        </w:rPr>
        <w:t>.</w:t>
      </w:r>
    </w:p>
    <w:p w:rsidR="0006240B" w:rsidRPr="00676F09" w:rsidRDefault="0006240B" w:rsidP="0006240B">
      <w:pPr>
        <w:pStyle w:val="a3"/>
        <w:rPr>
          <w:sz w:val="24"/>
          <w:szCs w:val="24"/>
        </w:rPr>
      </w:pPr>
    </w:p>
    <w:p w:rsidR="00676F09" w:rsidRPr="0006240B" w:rsidRDefault="00676F09" w:rsidP="00676F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74D29">
        <w:rPr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76F09">
        <w:rPr>
          <w:sz w:val="24"/>
          <w:szCs w:val="24"/>
        </w:rPr>
        <w:t xml:space="preserve"> ДК 021:2015 «Єдиний закупівельний словник» </w:t>
      </w:r>
      <w:r w:rsidR="00B74D29">
        <w:rPr>
          <w:sz w:val="24"/>
          <w:szCs w:val="24"/>
        </w:rPr>
        <w:t>7</w:t>
      </w:r>
      <w:r w:rsidRPr="00676F09">
        <w:rPr>
          <w:sz w:val="24"/>
          <w:szCs w:val="24"/>
        </w:rPr>
        <w:t>2</w:t>
      </w:r>
      <w:r w:rsidR="00B74D29">
        <w:rPr>
          <w:sz w:val="24"/>
          <w:szCs w:val="24"/>
        </w:rPr>
        <w:t>4</w:t>
      </w:r>
      <w:r w:rsidRPr="00676F09">
        <w:rPr>
          <w:sz w:val="24"/>
          <w:szCs w:val="24"/>
        </w:rPr>
        <w:t>10000-</w:t>
      </w:r>
      <w:r w:rsidR="00B74D29">
        <w:rPr>
          <w:sz w:val="24"/>
          <w:szCs w:val="24"/>
        </w:rPr>
        <w:t>7</w:t>
      </w:r>
      <w:r w:rsidRPr="00676F09">
        <w:rPr>
          <w:sz w:val="24"/>
          <w:szCs w:val="24"/>
        </w:rPr>
        <w:t xml:space="preserve"> </w:t>
      </w:r>
      <w:r w:rsidR="00B74D29">
        <w:rPr>
          <w:sz w:val="24"/>
          <w:szCs w:val="24"/>
        </w:rPr>
        <w:t>–</w:t>
      </w:r>
      <w:r w:rsidRPr="00676F09">
        <w:rPr>
          <w:sz w:val="24"/>
          <w:szCs w:val="24"/>
        </w:rPr>
        <w:t xml:space="preserve"> </w:t>
      </w:r>
      <w:r w:rsidR="00B74D29">
        <w:rPr>
          <w:sz w:val="24"/>
          <w:szCs w:val="24"/>
        </w:rPr>
        <w:t>«Послуги провайдерів»</w:t>
      </w:r>
      <w:r w:rsidRPr="00676F09">
        <w:rPr>
          <w:sz w:val="24"/>
          <w:szCs w:val="24"/>
        </w:rPr>
        <w:t xml:space="preserve"> (</w:t>
      </w:r>
      <w:r w:rsidR="00BD2CC2">
        <w:rPr>
          <w:sz w:val="24"/>
          <w:szCs w:val="24"/>
        </w:rPr>
        <w:t>Телекомунікаційні послуги</w:t>
      </w:r>
      <w:r w:rsidRPr="00676F09">
        <w:rPr>
          <w:sz w:val="24"/>
          <w:szCs w:val="24"/>
        </w:rPr>
        <w:t>).</w:t>
      </w:r>
    </w:p>
    <w:p w:rsidR="0006240B" w:rsidRPr="0006240B" w:rsidRDefault="0006240B" w:rsidP="0006240B">
      <w:pPr>
        <w:pStyle w:val="a3"/>
        <w:rPr>
          <w:b/>
          <w:sz w:val="24"/>
          <w:szCs w:val="24"/>
        </w:rPr>
      </w:pPr>
    </w:p>
    <w:p w:rsidR="00BD2CC2" w:rsidRDefault="00BD2CC2" w:rsidP="00BD2C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2CC2">
        <w:rPr>
          <w:b/>
          <w:sz w:val="24"/>
        </w:rPr>
        <w:t>Ідентифікатор закупівлі:</w:t>
      </w:r>
      <w:r w:rsidRPr="00BD2CC2">
        <w:rPr>
          <w:sz w:val="24"/>
        </w:rPr>
        <w:t xml:space="preserve"> </w:t>
      </w:r>
      <w:r w:rsidRPr="00BD2CC2">
        <w:rPr>
          <w:sz w:val="24"/>
          <w:szCs w:val="24"/>
        </w:rPr>
        <w:t>UA-2022-05-16-000702-a</w:t>
      </w:r>
      <w:r w:rsidR="0006240B">
        <w:rPr>
          <w:sz w:val="24"/>
          <w:szCs w:val="24"/>
        </w:rPr>
        <w:t>.</w:t>
      </w:r>
    </w:p>
    <w:p w:rsidR="00F96A63" w:rsidRDefault="00F96A63" w:rsidP="00F96A63">
      <w:pPr>
        <w:jc w:val="both"/>
        <w:rPr>
          <w:sz w:val="24"/>
          <w:szCs w:val="24"/>
        </w:rPr>
      </w:pPr>
    </w:p>
    <w:p w:rsidR="00EF2AF1" w:rsidRPr="00EF2AF1" w:rsidRDefault="00F96A63" w:rsidP="00F96A63">
      <w:pPr>
        <w:ind w:firstLine="360"/>
        <w:jc w:val="both"/>
        <w:rPr>
          <w:sz w:val="24"/>
        </w:rPr>
      </w:pPr>
      <w:r>
        <w:rPr>
          <w:b/>
          <w:sz w:val="24"/>
          <w:szCs w:val="24"/>
        </w:rPr>
        <w:t>4.</w:t>
      </w:r>
      <w:r w:rsidR="0006240B" w:rsidRPr="002D4DF0">
        <w:rPr>
          <w:b/>
          <w:sz w:val="24"/>
          <w:szCs w:val="24"/>
        </w:rPr>
        <w:t>Обґрунтування технічних та якісних ха</w:t>
      </w:r>
      <w:r w:rsidR="002D4DF0">
        <w:rPr>
          <w:b/>
          <w:sz w:val="24"/>
          <w:szCs w:val="24"/>
        </w:rPr>
        <w:t xml:space="preserve">рактеристик предмета закупівлі:    </w:t>
      </w:r>
      <w:r w:rsidR="002D4DF0" w:rsidRPr="002D4DF0">
        <w:rPr>
          <w:sz w:val="24"/>
        </w:rPr>
        <w:t xml:space="preserve">Відповідно до пункту 7 розділу XIX «Прикінцеві та перехідні положення» Закону України «Про електронні комунікації» від 16 грудня 2020 року № 1089, Національною комісією, що здійснює державне регулювання у сфері зв’язку та інформатизації України згідно поданого </w:t>
      </w:r>
      <w:r w:rsidR="00453E0C">
        <w:rPr>
          <w:sz w:val="24"/>
        </w:rPr>
        <w:t>ТОВ</w:t>
      </w:r>
      <w:r w:rsidR="002D4DF0" w:rsidRPr="002D4DF0">
        <w:rPr>
          <w:sz w:val="24"/>
        </w:rPr>
        <w:t xml:space="preserve"> «</w:t>
      </w:r>
      <w:r w:rsidR="00453E0C">
        <w:rPr>
          <w:sz w:val="24"/>
        </w:rPr>
        <w:t>МЕРЕЖА ЛАНЕТ</w:t>
      </w:r>
      <w:r w:rsidR="002D4DF0" w:rsidRPr="002D4DF0">
        <w:rPr>
          <w:sz w:val="24"/>
        </w:rPr>
        <w:t xml:space="preserve">» повідомлення про початок здійснення діяльності у сфері телекомунікацій товариство внесено до Реєстру операторів, провайдерів телекомунікацій та відповідно має право на здійснення діяльності у сфері телекомунікацій. Актуальні дані з Реєстру операторів, провайдерів телекомунікацій розміщені на офіційному сайті https://nkrzi.gov.ua/index.php?r=site/index&amp;pg=55&amp;langua&amp;e=%20uk. Відповідно до ст. 74 Закону України «Про електронні комунікації» від 16 грудня 2020 року (далі - Закон України «Про електронні комунікації») первинний розподіл ресурсу нумерації здійснюється регуляторним органом на дозвільній основі з урахуванням вимог національного плану нумерації та Закону України «Про електронні комунікації». Ресурс нумерації розподіляється суб’єктам господарювання, внесеним до реєстру постачальників електронних комунікаційних мереж (далі – користувач ресурсу нумерації) строком на п’ять років. Згідно частини 5 ст. 74 Закону України «Про електронні комунікації» користувач ресурсу нумерації здійснює вторинний розподіл нумерації кінцевим користувачам електронних телекомунікаційних послуг. У відповідності до п. 6 розділу ХІХ «Прикінцеві та перехідні положення» Закону України «Про електронні комунікації», дозволи на використання номерного ресурсу, що є чинними на день набрання чинності цим Законом, продовжують діяти як дозволи на користування ресурсом нумерації. Продовження строку дії таких дозволів здійснюється відповідно до Закону України «Про електронні комунікації». </w:t>
      </w:r>
      <w:r w:rsidR="00EF2AF1" w:rsidRPr="00EF2AF1">
        <w:rPr>
          <w:sz w:val="24"/>
        </w:rPr>
        <w:t>Державний університет телекомунікацій - провідний багатопрофільний навчальний заклад освіти в галузі зв’язку та сфері інформатизації. Він має IV рівень акредитації, здійснює підготовку фахівців з вищою освітою з широкого спектра технічних та інших напрямків, проводить фундаментальні та прикладні наукові дослідження, має розвинену інфраструктуру наукових та навчально - наукових підрозділів і установ.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Телекомунікаційні послуги, які отримує Державний університет телекомунікацій, повинні забезпечувати: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постійну взаємодію між структурними підрозділами Державного університету телекомунікацій, оперативний зв’язок з Міністерством освіти України, органами державної влади, іншими організаціями;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ефективне виконання важливих завдань;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lastRenderedPageBreak/>
        <w:t>можливість надання Державно</w:t>
      </w:r>
      <w:r w:rsidR="00FA5032">
        <w:rPr>
          <w:sz w:val="24"/>
        </w:rPr>
        <w:t>му</w:t>
      </w:r>
      <w:r w:rsidRPr="00EF2AF1">
        <w:rPr>
          <w:sz w:val="24"/>
        </w:rPr>
        <w:t xml:space="preserve"> університету телекомунікацій доступу до мережі Інтернет зі швидкістю 5Гбіт/с для проведення навчальних занять з аудиторій та лабораторій кафедр на дистанційній формі навчання;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безперебійний обмін інформацією із усіма взаємодіючими структурними підрозділами;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раціональне та ефективне використання бюджетних коштів;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надійність мережі зв’язку;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вимоги щодо конфіденційності наданих послуг.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Для забезпечення Державного університету телекомунікацій стабільним доступом до мережі Інтернет використовуються послуги ТОВ «МЕРЕЖА ЛАНЕТ», з яким укладено договір про співпрацю від 09.05.2022р. № 210629.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Згідно зазначеного договору в Державному університеті телекомунікацій була створена система доступу до глобальної мережі Інтернет з метою збільшення пропускної здатності каналу зв’язку, що забезпечило швидкість доступу до мережі Інтернет до 5гбіт/с. Необхідність збільшення пропускної можливості каналу до глобальної мережі Інтернет обумовлена тим, що у зв’язку з переходом на дистанційну формі навчання науково-педагогічні працівники Державного університету телекомунікацій проводять навчальні заняття зі студентами з аудиторій та лабораторій кафедр Університету.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Зазначене вище надало можливість Навчально-науковому інституту телекомунікацій та Студентському центру Державного університету телекомунікацій отримувати безоплатний доступ до мережі Інтернет зі швидкістю 5Гбіт/с, що у зв’язку з переходом на дистанційну формі навчання, дозволило науково-педагогічним працівникам Державного університету телекомунікацій проводити навчальні заняття зі студентами з аудиторій та лабораторій кафедр університету.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Надання телекомунікаційних послуг здійснюється в цілодобовому режимі.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Лінійно-кабельні споруди, телекомунікаційне обладнання та з’єднувальні лінії знаходяться на балансі ТОВ «МЕРЕЖА ЛАНЕТ».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ТОВ «МЕРЕЖА ЛАНЕТ» забезпечує повний спектр телекомунікаційних послуг, зазначених у договорі, з можливістю термінового реагування та виїзду сервісних інженерів для ліквідації лінійно-кабельних та апаратних пошкоджень.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Зміна існуючого оператора (ТОВ «МЕРЕЖА ЛАНЕТ») на іншого можливого оператора телекомунікацій призведе до: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залучення додаткових видатків і втрати раніше витрачених коштів;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необхідності побудови нових оптоволоконних ліній зв’язку, що не може бути виконано в короткий термін і призведе до тимчасового припинення доступу Державного університету телекомунікацій до мережі Інтернет, що в свою чергу призведе до збоїв у дистанційному навчальному процесі;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виникнення проблем технічного характеру, пов’язаних з перебудовою існуючої мережі, зміни ІР-адрес;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>переналаштування багатьох сервісів та обладнання, зокрема, ренумерація мережі, конфігурування брандмауерів, служби DNS, у тому числі у партнерів Державного університету телекомунікацій;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 xml:space="preserve">виникнення негативних наслідків, таких як припинення роботи інформаційних систем, що забезпечують роботу централізованих сервісів, внаслідок чого буде частково призупинений процес дистанційного навчання у Державному  Університеті телекомунікацій. </w:t>
      </w:r>
    </w:p>
    <w:p w:rsidR="00EF2AF1" w:rsidRPr="00EF2AF1" w:rsidRDefault="00EF2AF1" w:rsidP="00EF2AF1">
      <w:pPr>
        <w:ind w:firstLine="708"/>
        <w:jc w:val="both"/>
        <w:rPr>
          <w:sz w:val="24"/>
        </w:rPr>
      </w:pPr>
      <w:r w:rsidRPr="00EF2AF1">
        <w:rPr>
          <w:sz w:val="24"/>
        </w:rPr>
        <w:t xml:space="preserve">Враховуючи вищевикладене, Приватне акціонерне товариство «Український інститут із проектування і розвитку інформаційно-комунікаційної інфраструктури «Діпрозв’язок» підтверджує наявність підстав для укладання «договору про закупівлю, укладеного без використання електронної системи закупівель» Державним університетом телекомунікацій за предметом: код 021:2015 - 72410000-7 «Послуги провайдерів» на 2022 рік у Товариства з обмеженою відповідальністю «МЕРЕЖА ЛАНЕТ» відповідно до абзацу 4 пункту 2 частини 2 статті 40 розділу VII Закону України «Про публічні закупівлі» від 25.12.2015 року № 922-VIII (зі змінами), та </w:t>
      </w:r>
      <w:r w:rsidRPr="00EF2AF1">
        <w:rPr>
          <w:b/>
          <w:bCs/>
          <w:sz w:val="24"/>
        </w:rPr>
        <w:t xml:space="preserve">згідно абзацу 4, пункту 2, частини 7, статті  3  Закону про публічні закупівлі: </w:t>
      </w:r>
      <w:r w:rsidRPr="00EF2AF1">
        <w:rPr>
          <w:sz w:val="24"/>
        </w:rPr>
        <w:t>«відсутність конкуренції з технічних причин».</w:t>
      </w:r>
    </w:p>
    <w:p w:rsidR="002D4DF0" w:rsidRDefault="002D4DF0" w:rsidP="00EF2AF1">
      <w:pPr>
        <w:rPr>
          <w:sz w:val="24"/>
        </w:rPr>
      </w:pPr>
      <w:r w:rsidRPr="00EF2AF1">
        <w:rPr>
          <w:sz w:val="24"/>
        </w:rPr>
        <w:lastRenderedPageBreak/>
        <w:t>Кількість та місце поставки товарів або обсяг і місце виконання робіт чи надання послуг</w:t>
      </w:r>
      <w:r w:rsidR="00EF2AF1">
        <w:rPr>
          <w:sz w:val="24"/>
        </w:rPr>
        <w:t>: вул.</w:t>
      </w:r>
      <w:r w:rsidRPr="00EF2AF1">
        <w:rPr>
          <w:sz w:val="24"/>
        </w:rPr>
        <w:t>,</w:t>
      </w:r>
      <w:r w:rsidR="00EF2AF1">
        <w:rPr>
          <w:sz w:val="24"/>
        </w:rPr>
        <w:t xml:space="preserve"> Солом’янська,7/7а</w:t>
      </w:r>
      <w:r w:rsidRPr="00EF2AF1">
        <w:rPr>
          <w:sz w:val="24"/>
        </w:rPr>
        <w:t>, м. Київ, 0</w:t>
      </w:r>
      <w:r w:rsidR="00EF2AF1">
        <w:rPr>
          <w:sz w:val="24"/>
        </w:rPr>
        <w:t>3110.</w:t>
      </w:r>
    </w:p>
    <w:p w:rsidR="00EF2AF1" w:rsidRDefault="00EF2AF1" w:rsidP="00EF2AF1">
      <w:pPr>
        <w:rPr>
          <w:sz w:val="24"/>
        </w:rPr>
      </w:pPr>
    </w:p>
    <w:p w:rsidR="000F2157" w:rsidRPr="005243B6" w:rsidRDefault="000F2157" w:rsidP="00EF2AF1">
      <w:pPr>
        <w:rPr>
          <w:sz w:val="20"/>
        </w:rPr>
      </w:pPr>
      <w:r w:rsidRPr="000F2157">
        <w:rPr>
          <w:b/>
          <w:sz w:val="24"/>
        </w:rPr>
        <w:t>5. Обґрунтування розміру бюджетного призначення:</w:t>
      </w:r>
      <w:r>
        <w:rPr>
          <w:b/>
          <w:sz w:val="24"/>
        </w:rPr>
        <w:t xml:space="preserve"> </w:t>
      </w:r>
      <w:r w:rsidRPr="005243B6">
        <w:rPr>
          <w:sz w:val="24"/>
        </w:rPr>
        <w:t xml:space="preserve">розмір бюджетного призначення визначено </w:t>
      </w:r>
      <w:r w:rsidR="00084E0B" w:rsidRPr="005243B6">
        <w:rPr>
          <w:sz w:val="24"/>
          <w:lang w:val="ru-RU"/>
        </w:rPr>
        <w:t>кошторисом Державного ун</w:t>
      </w:r>
      <w:r w:rsidR="00084E0B" w:rsidRPr="005243B6">
        <w:rPr>
          <w:sz w:val="24"/>
        </w:rPr>
        <w:t>іверситету телекомуні</w:t>
      </w:r>
      <w:r w:rsidR="005243B6" w:rsidRPr="005243B6">
        <w:rPr>
          <w:sz w:val="24"/>
        </w:rPr>
        <w:t xml:space="preserve">кацій на 2022 рік та </w:t>
      </w:r>
      <w:r w:rsidR="00273846">
        <w:rPr>
          <w:sz w:val="24"/>
        </w:rPr>
        <w:t>розрахунками</w:t>
      </w:r>
      <w:r w:rsidR="005243B6" w:rsidRPr="005243B6">
        <w:rPr>
          <w:sz w:val="24"/>
        </w:rPr>
        <w:t xml:space="preserve"> до нього, як</w:t>
      </w:r>
      <w:r w:rsidR="00273846">
        <w:rPr>
          <w:sz w:val="24"/>
        </w:rPr>
        <w:t>і</w:t>
      </w:r>
      <w:r w:rsidR="005243B6" w:rsidRPr="005243B6">
        <w:rPr>
          <w:sz w:val="24"/>
        </w:rPr>
        <w:t xml:space="preserve"> бу</w:t>
      </w:r>
      <w:r w:rsidR="00273846">
        <w:rPr>
          <w:sz w:val="24"/>
        </w:rPr>
        <w:t>ли</w:t>
      </w:r>
      <w:r w:rsidR="005243B6" w:rsidRPr="005243B6">
        <w:rPr>
          <w:sz w:val="24"/>
        </w:rPr>
        <w:t xml:space="preserve"> затверджен</w:t>
      </w:r>
      <w:r w:rsidR="00273846">
        <w:rPr>
          <w:sz w:val="24"/>
        </w:rPr>
        <w:t>і</w:t>
      </w:r>
      <w:r w:rsidR="005243B6" w:rsidRPr="005243B6">
        <w:rPr>
          <w:sz w:val="24"/>
        </w:rPr>
        <w:t xml:space="preserve"> Міністерством освіти та науки України.</w:t>
      </w:r>
    </w:p>
    <w:p w:rsidR="00EF2AF1" w:rsidRDefault="00EF2AF1" w:rsidP="00EF2AF1">
      <w:pPr>
        <w:rPr>
          <w:b/>
          <w:sz w:val="22"/>
          <w:szCs w:val="24"/>
        </w:rPr>
      </w:pPr>
    </w:p>
    <w:p w:rsidR="000F2157" w:rsidRDefault="000F2157" w:rsidP="00EF2AF1">
      <w:pPr>
        <w:rPr>
          <w:sz w:val="24"/>
        </w:rPr>
      </w:pPr>
      <w:r w:rsidRPr="000F2157">
        <w:rPr>
          <w:b/>
          <w:sz w:val="24"/>
        </w:rPr>
        <w:t>6. Очікувана вартість предмета закупівлі:</w:t>
      </w:r>
      <w:r>
        <w:rPr>
          <w:b/>
          <w:sz w:val="24"/>
        </w:rPr>
        <w:t xml:space="preserve"> </w:t>
      </w:r>
      <w:r w:rsidR="00E83304" w:rsidRPr="00C744BF">
        <w:rPr>
          <w:sz w:val="24"/>
        </w:rPr>
        <w:t>499</w:t>
      </w:r>
      <w:r w:rsidR="00C744BF">
        <w:rPr>
          <w:sz w:val="24"/>
        </w:rPr>
        <w:t> </w:t>
      </w:r>
      <w:r w:rsidR="00E83304" w:rsidRPr="00C744BF">
        <w:rPr>
          <w:sz w:val="24"/>
        </w:rPr>
        <w:t>680</w:t>
      </w:r>
      <w:r w:rsidR="00C744BF">
        <w:rPr>
          <w:sz w:val="24"/>
        </w:rPr>
        <w:t xml:space="preserve"> (чотириста дев’яносто дев’ять тисяч шістсот вісімдесят)</w:t>
      </w:r>
      <w:r w:rsidR="00E83304" w:rsidRPr="00C744BF">
        <w:rPr>
          <w:sz w:val="24"/>
        </w:rPr>
        <w:t xml:space="preserve"> грн.</w:t>
      </w:r>
      <w:r w:rsidR="00E83304">
        <w:rPr>
          <w:b/>
          <w:sz w:val="24"/>
        </w:rPr>
        <w:t xml:space="preserve"> </w:t>
      </w:r>
      <w:r w:rsidR="00C744BF" w:rsidRPr="00C744BF">
        <w:rPr>
          <w:sz w:val="24"/>
        </w:rPr>
        <w:t>з ПДВ.</w:t>
      </w:r>
    </w:p>
    <w:p w:rsidR="00C744BF" w:rsidRDefault="00C744BF" w:rsidP="00EF2AF1">
      <w:pPr>
        <w:rPr>
          <w:sz w:val="24"/>
        </w:rPr>
      </w:pPr>
    </w:p>
    <w:p w:rsidR="00C744BF" w:rsidRDefault="00C744BF" w:rsidP="00EF2AF1">
      <w:pPr>
        <w:rPr>
          <w:sz w:val="24"/>
        </w:rPr>
      </w:pPr>
      <w:r w:rsidRPr="003561E8">
        <w:rPr>
          <w:b/>
          <w:sz w:val="24"/>
        </w:rPr>
        <w:t>7. Обґрунтування очікуваної вартості предмета закупівлі:</w:t>
      </w:r>
      <w:r w:rsidR="003561E8">
        <w:rPr>
          <w:b/>
          <w:sz w:val="24"/>
        </w:rPr>
        <w:t xml:space="preserve"> </w:t>
      </w:r>
      <w:r w:rsidR="003561E8" w:rsidRPr="003561E8">
        <w:rPr>
          <w:sz w:val="24"/>
        </w:rPr>
        <w:t xml:space="preserve">Очікувана вартість предмету закупівлі розрахована з урахуванням наданих послуг в попередніх роках та згідно з діючими тарифами </w:t>
      </w:r>
      <w:r w:rsidR="003561E8">
        <w:rPr>
          <w:sz w:val="24"/>
        </w:rPr>
        <w:t>ТОВ</w:t>
      </w:r>
      <w:r w:rsidR="003561E8" w:rsidRPr="003561E8">
        <w:rPr>
          <w:sz w:val="24"/>
        </w:rPr>
        <w:t xml:space="preserve"> «</w:t>
      </w:r>
      <w:r w:rsidR="003561E8">
        <w:rPr>
          <w:sz w:val="24"/>
        </w:rPr>
        <w:t>ЛАНЕТ</w:t>
      </w:r>
      <w:r w:rsidR="003561E8" w:rsidRPr="003561E8">
        <w:rPr>
          <w:sz w:val="24"/>
        </w:rPr>
        <w:t>»</w:t>
      </w:r>
      <w:r w:rsidR="003561E8">
        <w:rPr>
          <w:sz w:val="24"/>
        </w:rPr>
        <w:t>.</w:t>
      </w:r>
    </w:p>
    <w:p w:rsidR="003561E8" w:rsidRDefault="003561E8" w:rsidP="00EF2AF1">
      <w:pPr>
        <w:rPr>
          <w:sz w:val="24"/>
        </w:rPr>
      </w:pPr>
    </w:p>
    <w:p w:rsidR="003561E8" w:rsidRDefault="003561E8" w:rsidP="00EF2AF1">
      <w:pPr>
        <w:rPr>
          <w:b/>
          <w:sz w:val="24"/>
        </w:rPr>
      </w:pPr>
      <w:r w:rsidRPr="003561E8">
        <w:rPr>
          <w:b/>
          <w:sz w:val="24"/>
        </w:rPr>
        <w:t>8. Процедура закупівлі:</w:t>
      </w:r>
    </w:p>
    <w:p w:rsidR="003561E8" w:rsidRPr="00084E0B" w:rsidRDefault="003561E8" w:rsidP="00EF2AF1">
      <w:pPr>
        <w:rPr>
          <w:b/>
          <w:sz w:val="18"/>
          <w:lang w:val="ru-RU"/>
        </w:rPr>
      </w:pPr>
      <w:r w:rsidRPr="003561E8">
        <w:rPr>
          <w:sz w:val="24"/>
        </w:rPr>
        <w:t xml:space="preserve">Відповідно до </w:t>
      </w:r>
      <w:bookmarkStart w:id="0" w:name="_GoBack"/>
      <w:bookmarkEnd w:id="0"/>
      <w:r w:rsidRPr="003561E8">
        <w:rPr>
          <w:sz w:val="24"/>
        </w:rPr>
        <w:t>пункту 2 частини 2 статті 40 Закону застосовується переговорної процедури.</w:t>
      </w:r>
      <w:r w:rsidR="00084E0B">
        <w:rPr>
          <w:sz w:val="24"/>
          <w:lang w:val="ru-RU"/>
        </w:rPr>
        <w:t xml:space="preserve"> </w:t>
      </w:r>
    </w:p>
    <w:p w:rsidR="00C744BF" w:rsidRDefault="00C744BF" w:rsidP="00EF2AF1">
      <w:pPr>
        <w:rPr>
          <w:b/>
          <w:sz w:val="24"/>
        </w:rPr>
      </w:pPr>
    </w:p>
    <w:p w:rsidR="00C744BF" w:rsidRPr="000F2157" w:rsidRDefault="00C744BF" w:rsidP="00EF2AF1">
      <w:pPr>
        <w:rPr>
          <w:b/>
          <w:sz w:val="20"/>
          <w:szCs w:val="24"/>
        </w:rPr>
      </w:pPr>
    </w:p>
    <w:sectPr w:rsidR="00C744BF" w:rsidRPr="000F2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337"/>
    <w:multiLevelType w:val="hybridMultilevel"/>
    <w:tmpl w:val="20C22ACC"/>
    <w:lvl w:ilvl="0" w:tplc="1B1C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14"/>
    <w:rsid w:val="000455D4"/>
    <w:rsid w:val="0006240B"/>
    <w:rsid w:val="00084E0B"/>
    <w:rsid w:val="000B3DDA"/>
    <w:rsid w:val="000F2157"/>
    <w:rsid w:val="00105124"/>
    <w:rsid w:val="00133AA6"/>
    <w:rsid w:val="00214EB2"/>
    <w:rsid w:val="00273846"/>
    <w:rsid w:val="002D4DF0"/>
    <w:rsid w:val="003561E8"/>
    <w:rsid w:val="00374914"/>
    <w:rsid w:val="003953A5"/>
    <w:rsid w:val="003C5976"/>
    <w:rsid w:val="00453E0C"/>
    <w:rsid w:val="004E1015"/>
    <w:rsid w:val="005021EC"/>
    <w:rsid w:val="005243B6"/>
    <w:rsid w:val="0055077B"/>
    <w:rsid w:val="005D74B7"/>
    <w:rsid w:val="0066629D"/>
    <w:rsid w:val="00673D04"/>
    <w:rsid w:val="00676F09"/>
    <w:rsid w:val="00677EF4"/>
    <w:rsid w:val="00683F7A"/>
    <w:rsid w:val="006C53EE"/>
    <w:rsid w:val="00845F08"/>
    <w:rsid w:val="00892BC7"/>
    <w:rsid w:val="00896551"/>
    <w:rsid w:val="008D28DE"/>
    <w:rsid w:val="00932595"/>
    <w:rsid w:val="009378B7"/>
    <w:rsid w:val="009D2007"/>
    <w:rsid w:val="00A552D6"/>
    <w:rsid w:val="00A76C59"/>
    <w:rsid w:val="00AB6428"/>
    <w:rsid w:val="00B3209C"/>
    <w:rsid w:val="00B663D3"/>
    <w:rsid w:val="00B74D29"/>
    <w:rsid w:val="00BD2CC2"/>
    <w:rsid w:val="00C744BF"/>
    <w:rsid w:val="00CD4079"/>
    <w:rsid w:val="00CE2DEE"/>
    <w:rsid w:val="00CE7E82"/>
    <w:rsid w:val="00DD41EE"/>
    <w:rsid w:val="00E443B7"/>
    <w:rsid w:val="00E5517B"/>
    <w:rsid w:val="00E83304"/>
    <w:rsid w:val="00EF2AF1"/>
    <w:rsid w:val="00F40CDF"/>
    <w:rsid w:val="00F60E57"/>
    <w:rsid w:val="00F676DA"/>
    <w:rsid w:val="00F96A63"/>
    <w:rsid w:val="00FA503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9C4D"/>
  <w15:chartTrackingRefBased/>
  <w15:docId w15:val="{703E10FF-BF3C-421C-82F9-2CEF98C8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E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0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1221</Words>
  <Characters>6960</Characters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2022-09-27T06:40:00Z</cp:lastPrinted>
  <dcterms:created xsi:type="dcterms:W3CDTF">2022-09-27T05:56:00Z</dcterms:created>
  <dcterms:modified xsi:type="dcterms:W3CDTF">2022-09-27T07:13:00Z</dcterms:modified>
</cp:coreProperties>
</file>